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240" w:lineRule="auto"/>
        <w:jc w:val="center"/>
        <w:rPr>
          <w:rFonts w:ascii="方正小标宋_GBK" w:hAnsi="方正小标宋_GBK" w:eastAsia="方正小标宋_GBK" w:cs="方正小标宋_GBK"/>
          <w:b w:val="0"/>
          <w:sz w:val="36"/>
          <w:szCs w:val="36"/>
        </w:rPr>
      </w:pPr>
      <w:bookmarkStart w:id="0" w:name="_Toc335661865"/>
      <w:bookmarkStart w:id="1" w:name="_Toc334024275"/>
      <w:r>
        <w:rPr>
          <w:rFonts w:hint="eastAsia" w:ascii="方正小标宋_GBK" w:hAnsi="方正小标宋_GBK" w:eastAsia="方正小标宋_GBK" w:cs="方正小标宋_GBK"/>
          <w:b w:val="0"/>
          <w:sz w:val="36"/>
          <w:szCs w:val="36"/>
        </w:rPr>
        <w:t>湖北省2021年三级医院临床重点专科评分标准</w:t>
      </w:r>
      <w:bookmarkEnd w:id="0"/>
      <w:bookmarkEnd w:id="1"/>
    </w:p>
    <w:p>
      <w:pPr>
        <w:jc w:val="center"/>
        <w:rPr>
          <w:rFonts w:ascii="仿宋_GB2312" w:hAnsi="宋体" w:eastAsia="仿宋_GB2312"/>
          <w:snapToGrid w:val="0"/>
          <w:kern w:val="0"/>
          <w:sz w:val="28"/>
          <w:szCs w:val="28"/>
        </w:rPr>
      </w:pPr>
      <w:r>
        <w:rPr>
          <w:rFonts w:hint="eastAsia" w:ascii="仿宋_GB2312" w:hAnsi="宋体" w:eastAsia="仿宋_GB2312"/>
          <w:bCs/>
          <w:spacing w:val="20"/>
          <w:sz w:val="28"/>
          <w:szCs w:val="28"/>
        </w:rPr>
        <w:t>（适用于生殖医学科专业）</w:t>
      </w:r>
    </w:p>
    <w:tbl>
      <w:tblPr>
        <w:tblStyle w:val="7"/>
        <w:tblW w:w="145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0"/>
        <w:gridCol w:w="678"/>
        <w:gridCol w:w="3474"/>
        <w:gridCol w:w="720"/>
        <w:gridCol w:w="4680"/>
        <w:gridCol w:w="4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eastAsia="宋体"/>
                <w:b/>
                <w:bCs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200</w:t>
            </w:r>
          </w:p>
        </w:tc>
        <w:tc>
          <w:tcPr>
            <w:tcW w:w="9161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无组织机构不得分，有机构未履行职责扣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规划欠合理得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分；无中长期发展规划不得分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规模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7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场地布局不符合专科要求不得分；</w:t>
            </w:r>
          </w:p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医院感染管理不符合要求不得分；</w:t>
            </w:r>
          </w:p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科室标识不规范、不清楚、不醒目扣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病床总数≥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张得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分，每少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张扣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1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辅助生殖技术服务能力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查看相关文件、评审前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年内上报省卫健委数据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4"/>
              <w:widowControl/>
              <w:numPr>
                <w:numId w:val="0"/>
              </w:numPr>
              <w:snapToGrid w:val="0"/>
              <w:spacing w:line="270" w:lineRule="exact"/>
              <w:ind w:leftChars="0"/>
              <w:jc w:val="left"/>
              <w:rPr>
                <w:rFonts w:hint="eastAsia" w:ascii="宋体" w:hAnsi="宋体" w:eastAsia="宋体" w:cs="Times New Roman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fldChar w:fldCharType="begin"/>
            </w:r>
            <w:r>
              <w:rPr>
                <w:rFonts w:hint="eastAsia" w:ascii="宋体" w:hAnsi="宋体" w:eastAsia="宋体" w:cs="Times New Roman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instrText xml:space="preserve"> = 1 \* GB3 \* MERGEFORMAT </w:instrText>
            </w:r>
            <w:r>
              <w:rPr>
                <w:rFonts w:hint="eastAsia" w:ascii="宋体" w:hAnsi="宋体" w:eastAsia="宋体" w:cs="Times New Roman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fldChar w:fldCharType="separate"/>
            </w:r>
            <w:r>
              <w:t>①</w:t>
            </w:r>
            <w:r>
              <w:rPr>
                <w:rFonts w:hint="eastAsia" w:ascii="宋体" w:hAnsi="宋体" w:eastAsia="宋体" w:cs="Times New Roman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fldChar w:fldCharType="end"/>
            </w:r>
            <w:r>
              <w:rPr>
                <w:rFonts w:hint="eastAsia" w:ascii="宋体" w:hAnsi="宋体" w:eastAsia="宋体" w:cs="Times New Roman"/>
                <w:snapToGrid w:val="0"/>
                <w:color w:val="000000"/>
                <w:kern w:val="0"/>
                <w:sz w:val="21"/>
                <w:szCs w:val="21"/>
                <w:lang w:val="en-US" w:eastAsia="zh-CN" w:bidi="ar-SA"/>
              </w:rPr>
              <w:t>开展辅助生殖技术的种类  （20分）（能够开展所有项目包括胚胎植入前筛查PGT 20分，仅开展部分项目10分，仅能开展人工授精5分）</w:t>
            </w:r>
          </w:p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instrText xml:space="preserve">= 2 \* GB3</w:instrTex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②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周期数量 （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30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）（能够开展IVF的中心，统计评审前3年平均采卵周期数，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highlight w:val="none"/>
              </w:rPr>
              <w:t>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  <w:highlight w:val="none"/>
              </w:rPr>
              <w:t>7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highlight w:val="none"/>
              </w:rPr>
              <w:t>000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 xml:space="preserve">/年 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分，4000-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 xml:space="preserve">000/年 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分，1000-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 xml:space="preserve">000/年 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≤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 xml:space="preserve">1000/年 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 仅能开展IUI和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highlight w:val="none"/>
              </w:rPr>
              <w:t>/或AID中心，统计评审前3年人工授精平均周期数，≧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  <w:highlight w:val="none"/>
              </w:rPr>
              <w:t>50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highlight w:val="none"/>
              </w:rPr>
              <w:t xml:space="preserve">0/年 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highlight w:val="none"/>
                <w:lang w:val="en-US" w:eastAsia="zh-CN"/>
              </w:rPr>
              <w:t>15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highlight w:val="none"/>
              </w:rPr>
              <w:t>分，100-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  <w:highlight w:val="none"/>
              </w:rPr>
              <w:t>50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highlight w:val="none"/>
              </w:rPr>
              <w:t xml:space="preserve">0/年 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highlight w:val="none"/>
              </w:rPr>
              <w:t xml:space="preserve">分，50-100/年 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highlight w:val="none"/>
              </w:rPr>
              <w:t>分，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  <w:highlight w:val="none"/>
              </w:rPr>
              <w:t>≤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highlight w:val="none"/>
              </w:rPr>
              <w:t>50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/年 1分）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支撑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条件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每少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万元减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专科医疗设备和场所设置能满足专科开展全部技术项目需要，具有先进性和适宜性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现场查看专科必备的仪器情况，查看仪器的使用记录；工作场所须按要求设置不同级别的空气净化层流装置，取卵手术室、移植手术室、精液处理室、胚胎实验室、冷冻操作室为万级层流，配子及胚胎操作区为百级层流。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设备满足所开展技术项目需要得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；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医疗设备具有先进性得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分，具有适宜性得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分。胚胎培养室、培养箱、液氮罐未配备监控报警设备扣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分，各实验区域未配备24小时安保视频监控扣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hint="default" w:ascii="宋体" w:eastAsia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b/>
                <w:bCs w:val="0"/>
                <w:snapToGrid w:val="0"/>
                <w:color w:val="000000"/>
                <w:kern w:val="0"/>
                <w:szCs w:val="21"/>
                <w:lang w:val="en-US" w:eastAsia="zh-CN"/>
              </w:rPr>
              <w:t>具体要求见附件1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  <w:p>
            <w:pPr>
              <w:adjustRightInd w:val="0"/>
              <w:snapToGrid w:val="0"/>
              <w:rPr>
                <w:rFonts w:hint="eastAsia"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无发展规划扣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分；无工作计划扣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分；无年度总结扣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专科有医疗质量管理组织，有医疗质量的管理制度，每月有科内医疗质量检查记录，并落实整改。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查资料、查记录；随机抽查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名医务人员进行考核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未成立组织不得分；无质量管理制度扣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分；每月未定期检查不得分；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人不熟悉质量管理制度扣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查资料，现场随机抽查医、护人员各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无岗位职责不得分，岗位职责不健全扣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人不熟悉岗位职责扣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查开展临床路径相关文件、资料及工作记录，抽查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根据卫生部和省卫生厅的要求认真开展临床路径工作。根据本院本科室实际情况，制定并实施临床路径，工作有记录，资料完整得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分；开展了临床路径，工作无记录或记录集不完整得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分；未开展不得分。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）改变护理工作模式，实行责任制整体护理；（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）根据《综合医院分级护理指导原则（试行）》等文件，结合病房实际，细化分级护理标准、服务内涵和服务项目，患者的护理级别与患者病情和自理能力相符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0.4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分，每名责任护士平均负责患者数量超过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个扣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分，依赖患者家属自聘护工护理患者扣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名病人护理级别和病情不相符扣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名护士对优质护理服务有关内涵不清楚扣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hint="default" w:ascii="宋体" w:hAnsi="宋体" w:eastAsia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医学伦理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执行情况：成立专科伦理委员会，人员组成合理，包括医学伦理学、心理学、社会学、法学和生殖医学、护理、群众代表等专家。每年至少召开1次会议。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检查近三年伦理委员会成立文件及会议记录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 xml:space="preserve">人员组成不合理，缺少1名专家扣2分；每年不足1次扣10分，会议记录没有1次扣5分，记录不完善1次扣5分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ascii="宋体" w:hAnsi="宋体"/>
                <w:b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eastAsia="zh-CN"/>
              </w:rPr>
              <w:t>总负责人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职称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正高或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岁以下的副高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非正高职称或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岁以上副高级职称不得分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主持科内业务学习每年不少于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次，年内应邀参加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eastAsia="zh-CN"/>
              </w:rPr>
              <w:t>省级以上的学术会议讲座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不少于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主持科内业务学习每年少于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次，扣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分；参加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eastAsia="zh-CN"/>
              </w:rPr>
              <w:t>省级以上的学术会议讲座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少于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主持科研项目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国家级、省级、市级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分，省级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分，市级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发表论文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统计源以上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少一篇扣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篇以下不得分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bCs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eastAsia="zh-CN"/>
              </w:rPr>
              <w:t>学科骨干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28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宋体" w:eastAsia="宋体"/>
                <w:bCs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eastAsia="zh-CN"/>
              </w:rPr>
              <w:t>临床负责人（不得由同一人担任）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宋体" w:eastAsia="宋体"/>
                <w:bCs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eastAsia="zh-CN"/>
              </w:rPr>
              <w:t>（临床负责人由具有高级技术职称的妇产科执业医师担任）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宋体" w:eastAsia="宋体"/>
                <w:bCs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eastAsia="zh-CN"/>
              </w:rPr>
              <w:t>不符合条件或未设立临床负责人扣分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eastAsia="zh-CN"/>
              </w:rPr>
              <w:t>实验室负责人（不得由同一人担任）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宋体" w:eastAsia="宋体"/>
                <w:bCs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eastAsia="zh-CN"/>
              </w:rPr>
              <w:t>（实验室负责人由医学或生物学专业高级技术职称人员担任）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eastAsia="zh-CN"/>
              </w:rPr>
              <w:t>不符合条件或未设立实验室负责人扣分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年主持科内业务学习平均每月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次以上，年内应邀参加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eastAsia="zh-CN"/>
              </w:rPr>
              <w:t>省级以上的学术会议讲座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不少于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主持科内业务学习平均每月少于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年内应邀参加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eastAsia="zh-CN"/>
              </w:rPr>
              <w:t>省级以上的学术会议讲座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统计源以上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年内获准批件；查评审前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未承担相应课题扣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分，论文少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篇扣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队伍（含胚胎学家）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18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人员配备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要求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见附件2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ascii="宋体"/>
                <w:snapToGrid w:val="0"/>
                <w:color w:val="000000"/>
                <w:kern w:val="0"/>
                <w:szCs w:val="21"/>
                <w:lang w:eastAsia="zh-CN"/>
              </w:rPr>
              <w:t>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名专业技术人员相应执业资格；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人不具备相应执业资格不得分；人员配备不达标扣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30%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，博士达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硕士不达标扣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分；博士不达标扣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查职称证书，高级、中级、初级人员占医师总数比例为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∶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∶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各级人员比例可上下浮动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20%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范围，超出范围比例失调不得分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结构层次清楚，人数近似得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分；人数比例明显失调扣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16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分；无质量分析记录和改进措施扣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对业务不熟悉扣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分；对科室管理情况不清楚扣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bCs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查有关资料，现场考核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无培训计划扣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分，无考核记录扣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名护士业务能力不熟悉扣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无计划不得分，无培训记录扣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选送科室人员到外院或国外医院进修学习，每年不少于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人次，进修时间不少于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个月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个月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人次，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人以上（含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人）得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分；每减少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人次扣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eastAsia="zh-CN"/>
              </w:rPr>
              <w:t>，扣完为止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b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ascii="宋体" w:hAnsi="宋体"/>
                <w:b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240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default" w:ascii="宋体"/>
                <w:bCs/>
                <w:snapToGrid w:val="0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由评审专家组结合专业实际确定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8-10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ind w:firstLine="210" w:firstLineChars="10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保持适宜的床位使用率≤93%，每升高1%扣2分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default" w:ascii="宋体" w:eastAsia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专家根据参评单位平均年出院人数情况综合打分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default" w:ascii="宋体" w:eastAsia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专家根据参评单位平均年门诊人次情况综合打分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平均住院日≤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default" w:ascii="宋体" w:eastAsia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每上升一天扣</w:t>
            </w:r>
            <w:r>
              <w:rPr>
                <w:rFonts w:hint="eastAsia" w:ascii="宋体" w:hAnsi="宋体"/>
                <w:snapToGrid w:val="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分。同一个专业的专科如果均在标准之内其最短天数按满分计数，其他酌情给分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科室床位周转次数≥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19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default" w:ascii="宋体" w:eastAsia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宋体" w:eastAsia="宋体"/>
                <w:bCs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降低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eastAsia="zh-CN"/>
              </w:rPr>
              <w:t>，扣完为止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辅助生殖技术成功率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default" w:ascii="宋体" w:hAnsi="宋体" w:eastAsia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80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查阅生殖专科评审前三年的数据，计算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新鲜胚胎移植周期临床妊娠率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冻融胚胎移植周期临床妊娠率〔移植周期临床妊娠率=(临床妊娠周期数/移植周期数)x100%〕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default" w:ascii="宋体" w:hAnsi="宋体" w:eastAsia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新鲜胚胎移植周期临床妊娠率不得低于40％；冻融胚胎移植周期临床妊娠率不得低于40％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降低一个百分点扣一分，扣完为止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default" w:ascii="宋体" w:hAnsi="宋体" w:eastAsia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辅助生殖技术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多胎妊娠率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default" w:ascii="宋体" w:hAnsi="宋体" w:eastAsia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查阅生殖专科评审前三年的数据，计算多胎妊娠率；检查减胎记录，统计有无三胎以上妊娠分娩。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default" w:ascii="宋体" w:hAnsi="宋体"/>
                <w:bCs/>
                <w:snapToGrid w:val="0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各技术类别多胎妊娠率不得高于25%，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每升高一个百分点扣5分，扣完为止。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default" w:ascii="宋体" w:hAnsi="宋体"/>
                <w:bCs/>
                <w:snapToGrid w:val="0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辅助生殖技术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中重度OHSS发生率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default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生殖专科评审前三年的数据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各技术类别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中重度OHSS发生率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不得高于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%，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每升高一个百分点扣5分，扣完为止。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/>
                <w:bCs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辅助生殖技术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eastAsia="zh-CN"/>
              </w:rPr>
              <w:t>后盆腔感染发生率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default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查阅生殖专科评审前三年的数据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highlight w:val="gree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各技术类别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盆腔感染发生率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不得高于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%，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每升高一个百分点扣5分，扣完为止。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宋体" w:hAnsi="宋体" w:eastAsia="宋体"/>
                <w:bCs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辅助生殖技术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eastAsia="zh-CN"/>
              </w:rPr>
              <w:t>后盆腔出血发生率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default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查阅生殖专科评审前三年的数据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highlight w:val="gree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各技术类别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中盆腔出血发生率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不得高于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%，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每升高一个百分点扣5分，扣完为止。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亚专科建设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亚专科与专科发展相适应（如男科、中医、遗传学）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亚专科设置超过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个以上得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个得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分，没有不得分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个反映本专业水平和能力的病种或技术进行比较评价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医院提供的评审前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对医院提供的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项技术进行评估，每项技术适应症的合理掌握（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分），实施效果（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分），单项技术先进性、领先程度（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80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、本专科独立完成；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、每一项目能提交评审前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年内的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按照《项目指南》的要求进行考核，每一项目查阅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按相应专业技术项目的条款的总数平分分值；病历数少于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者，本项按未开展计算，大于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不足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的扣除相应分值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疑难诊治能力（高龄、反复流产、反复着床失败等）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份疑难重症病历，查病例诊疗方案合理性，核心技术应用合理性（综合好转率、死亡率、并发症或合并症发生率）。疑难重症病种由专家组结合本专业实际确定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危重症诊治能力（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IVF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并发症：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出血、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重度O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HSS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eastAsia="zh-CN"/>
              </w:rPr>
              <w:t>、严重感染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等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份危重症病历，查病例诊疗方案合理性，核心技术应用合理性（综合好转率、死亡率、并发症或合并症发生率）。危重病种由专家组结合本专业实际确定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查在评审前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年，均有创新项目，带动诊疗技术水平不断提高，得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分；创新项目少，适当扣分；临床诊疗水平停滞不前，不得分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分。未产生效益不得分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项创新项目具有先进性且临床应用好，得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项创新项目具有先进性且临床应用好得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创新项目的临床转化能力强，得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分；转化能力一般，得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分；不能转化为临床使用则不得分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年治疗患者中外埠患者比例≥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default" w:ascii="宋体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0"/>
                <w:szCs w:val="21"/>
                <w:lang w:val="en-US" w:eastAsia="zh-CN"/>
              </w:rPr>
              <w:t>统计评审前三年的数据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比例≥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40%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得满分，每降低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1.5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具有下级医院转入急危重症和疑难病患者诊治经过得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家及以上医院进行对口支援，得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分，每少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家扣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未举办技术推广会议或培训不得分，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年未举办扣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91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大会报告每次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分，书面交流每次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分，最高不超过标准分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eastAsia="宋体"/>
                <w:b/>
                <w:bCs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160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35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份病历不合理扣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eastAsia="zh-CN"/>
              </w:rPr>
              <w:t>，扣完为止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default" w:ascii="宋体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份病历不合理扣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eastAsia="zh-CN"/>
              </w:rPr>
              <w:t>，扣完为止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eastAsia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份用血病历，检查是否严格遵守输血禁忌症，临床用血是否科学、合理（如不足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例则检查评审前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3年的所有用血病历）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分病历不合理扣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eastAsia="zh-CN"/>
              </w:rPr>
              <w:t>，扣完为止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发生三、四级医疗事故负主要责任不得分，次要责任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每天均安排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eastAsia="zh-CN"/>
              </w:rPr>
              <w:t>有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高级职称人员门诊，所有专家每周至少出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次门诊，得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分。有一人不符合要求扣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开设本专科专病门诊（如男科、遗传、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PCOS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、复发性流产）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开设专病门诊得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分，未开设，不得分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门诊患者中预约挂号情况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已开展工作得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机构对辅助生殖技术的随访率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查看相关记录，实地查看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eastAsia="zh-CN"/>
              </w:rPr>
              <w:t>。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机构对人工授精和体外受精-胚胎移植的随访率不得低于95%，供精、赠卵出生的随访率须达100%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随访率低于指标不得分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70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诊断符合率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＜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95%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临床主要诊断、病理诊断符合率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＜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70%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甲级病案率＜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90%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，每降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，扣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分，有丙级病历不得分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未建立患者随访制度，扣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分，重点病种的出院患者随访率＜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50%,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现场随机抽查医生、护士各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人不合格扣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基础护理、危重患者护理合格率≥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每下降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制度健全、落实到位得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分。有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项缺项或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处不落实扣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15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病人满意度调查大于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default" w:ascii="宋体"/>
                <w:snapToGrid w:val="0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随机调查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满意度低于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95%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，每降低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分，低于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90%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eastAsia="宋体"/>
                <w:b/>
                <w:bCs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全国主委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分、副主委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分，常委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分，委员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分；省主委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分，副主委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分，常委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分、委员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分；市主委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分，副主委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收录杂志的主编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分，常务编委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分；中华医学会系列杂志主编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分，常务编委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分；统计源杂志主编、副主编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分，常务编委、编委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国际性学术会议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分；全国性学术会议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分；省级学术会议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分；市级学术会议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3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查评审前</w:t>
            </w:r>
            <w:r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30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国家级、省级、市级科技奖励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一、二、三等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国家级一等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分，二等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分，三等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分；省一等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分，二等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分，三等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分；市一等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分、二等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分、三等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每篇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分；中华医学会系列杂志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分；统计源杂志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国家级、省级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甲类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、市级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乙类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继续教育项目；深入基层举办继续教育项目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学习班、论坛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国家级一项次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分，省级一项次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分，市级一项次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举办培训班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分；可累积计分，总分不超过标准分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未获得规范化医师培训基地，不得分。培养合格率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&lt;95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分；每低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个百分点，扣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接受外单位在职人员进修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进修以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个月以上人员为准，且每年≥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学生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教育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年内资料，临床教学不少于本课时的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80%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分，无实习、见习扣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无硕士学位授予点不得分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,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>
      <w:pPr>
        <w:rPr>
          <w:rFonts w:ascii="宋体"/>
          <w:sz w:val="24"/>
        </w:rPr>
      </w:pPr>
      <w:r>
        <w:rPr>
          <w:rFonts w:hint="eastAsia" w:ascii="宋体" w:hAnsi="宋体"/>
          <w:sz w:val="24"/>
        </w:rPr>
        <w:t>注：总分</w:t>
      </w:r>
      <w:r>
        <w:rPr>
          <w:rFonts w:ascii="宋体" w:hAnsi="宋体"/>
          <w:sz w:val="24"/>
        </w:rPr>
        <w:t>1000</w:t>
      </w:r>
      <w:r>
        <w:rPr>
          <w:rFonts w:hint="eastAsia" w:ascii="宋体" w:hAnsi="宋体"/>
          <w:sz w:val="24"/>
        </w:rPr>
        <w:t>分。每项得分不得超过标准分，扣分以扣完标准分为止。</w:t>
      </w:r>
    </w:p>
    <w:p/>
    <w:p/>
    <w:p>
      <w:r>
        <w:t>附件</w:t>
      </w:r>
      <w:r>
        <w:rPr>
          <w:rFonts w:hint="eastAsia"/>
        </w:rPr>
        <w:t>1</w:t>
      </w:r>
      <w:r>
        <w:t xml:space="preserve"> </w:t>
      </w:r>
    </w:p>
    <w:tbl>
      <w:tblPr>
        <w:tblStyle w:val="7"/>
        <w:tblW w:w="13372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0"/>
        <w:gridCol w:w="1332"/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设备最低配置情况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取卵周期数/年</w:t>
            </w:r>
          </w:p>
        </w:tc>
        <w:tc>
          <w:tcPr>
            <w:tcW w:w="13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B超（台）</w:t>
            </w:r>
          </w:p>
        </w:tc>
        <w:tc>
          <w:tcPr>
            <w:tcW w:w="10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负压吸引器（台）</w:t>
            </w:r>
          </w:p>
        </w:tc>
        <w:tc>
          <w:tcPr>
            <w:tcW w:w="10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妇科床（张）</w:t>
            </w:r>
          </w:p>
        </w:tc>
        <w:tc>
          <w:tcPr>
            <w:tcW w:w="10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超净工作台（台）</w:t>
            </w:r>
          </w:p>
        </w:tc>
        <w:tc>
          <w:tcPr>
            <w:tcW w:w="10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解剖显微镜（台）</w:t>
            </w:r>
          </w:p>
        </w:tc>
        <w:tc>
          <w:tcPr>
            <w:tcW w:w="10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生物显微镜（台）</w:t>
            </w:r>
          </w:p>
        </w:tc>
        <w:tc>
          <w:tcPr>
            <w:tcW w:w="10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倒置显微镜（台）</w:t>
            </w:r>
          </w:p>
        </w:tc>
        <w:tc>
          <w:tcPr>
            <w:tcW w:w="10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精液分析仪（台）</w:t>
            </w:r>
          </w:p>
        </w:tc>
        <w:tc>
          <w:tcPr>
            <w:tcW w:w="10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二氧化碳培养箱（台）</w:t>
            </w:r>
          </w:p>
        </w:tc>
        <w:tc>
          <w:tcPr>
            <w:tcW w:w="10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二氧化碳测定仪（台）</w:t>
            </w:r>
          </w:p>
        </w:tc>
        <w:tc>
          <w:tcPr>
            <w:tcW w:w="10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胚胎储存液氮罐（个）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小于1000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足量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足量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1000至4000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足量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足量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4000至7000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足量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足量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大于7000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足量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足量</w:t>
            </w:r>
          </w:p>
        </w:tc>
      </w:tr>
    </w:tbl>
    <w:p/>
    <w:p/>
    <w:p>
      <w:r>
        <w:t>附件</w:t>
      </w:r>
      <w:r>
        <w:rPr>
          <w:rFonts w:hint="eastAsia"/>
        </w:rPr>
        <w:t>2</w:t>
      </w:r>
    </w:p>
    <w:tbl>
      <w:tblPr>
        <w:tblStyle w:val="7"/>
        <w:tblW w:w="11610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25"/>
        <w:gridCol w:w="2538"/>
        <w:gridCol w:w="1982"/>
        <w:gridCol w:w="1982"/>
        <w:gridCol w:w="19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2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szCs w:val="22"/>
              </w:rPr>
              <w:t>人员最低配置情况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eastAsia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6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取卵周期数/年</w:t>
            </w:r>
          </w:p>
        </w:tc>
        <w:tc>
          <w:tcPr>
            <w:tcW w:w="13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最低妇科医生人数</w:t>
            </w:r>
          </w:p>
        </w:tc>
        <w:tc>
          <w:tcPr>
            <w:tcW w:w="10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最低男科医生人数</w:t>
            </w:r>
          </w:p>
        </w:tc>
        <w:tc>
          <w:tcPr>
            <w:tcW w:w="10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最低护士人数</w:t>
            </w:r>
          </w:p>
        </w:tc>
        <w:tc>
          <w:tcPr>
            <w:tcW w:w="10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最低胚胎实验室人数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小于1000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1000至4000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4000至7000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16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6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大于7000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22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</w:p>
        </w:tc>
      </w:tr>
    </w:tbl>
    <w:p>
      <w:pPr>
        <w:rPr>
          <w:rFonts w:hint="eastAsia"/>
        </w:rPr>
      </w:pPr>
      <w:bookmarkStart w:id="2" w:name="_GoBack"/>
      <w:bookmarkEnd w:id="2"/>
    </w:p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F17"/>
    <w:rsid w:val="000539AE"/>
    <w:rsid w:val="000E6F3A"/>
    <w:rsid w:val="0017790C"/>
    <w:rsid w:val="001901E4"/>
    <w:rsid w:val="001937E2"/>
    <w:rsid w:val="001A3D1C"/>
    <w:rsid w:val="001A703C"/>
    <w:rsid w:val="001D62BF"/>
    <w:rsid w:val="0021790B"/>
    <w:rsid w:val="00226172"/>
    <w:rsid w:val="00250733"/>
    <w:rsid w:val="002A6CFF"/>
    <w:rsid w:val="003A4080"/>
    <w:rsid w:val="003F0E16"/>
    <w:rsid w:val="003F41FF"/>
    <w:rsid w:val="00540DD3"/>
    <w:rsid w:val="005A7D54"/>
    <w:rsid w:val="005E068F"/>
    <w:rsid w:val="005E5B0B"/>
    <w:rsid w:val="00676AFD"/>
    <w:rsid w:val="006D5857"/>
    <w:rsid w:val="006F11E3"/>
    <w:rsid w:val="006F2FF2"/>
    <w:rsid w:val="007404B2"/>
    <w:rsid w:val="007C4B08"/>
    <w:rsid w:val="00811044"/>
    <w:rsid w:val="00812F17"/>
    <w:rsid w:val="00850A0E"/>
    <w:rsid w:val="00896233"/>
    <w:rsid w:val="008A6027"/>
    <w:rsid w:val="008A799A"/>
    <w:rsid w:val="008E2810"/>
    <w:rsid w:val="009304A7"/>
    <w:rsid w:val="0095568D"/>
    <w:rsid w:val="009707C6"/>
    <w:rsid w:val="009A080C"/>
    <w:rsid w:val="00A07128"/>
    <w:rsid w:val="00A416CF"/>
    <w:rsid w:val="00A8002E"/>
    <w:rsid w:val="00A82CF2"/>
    <w:rsid w:val="00AB52FE"/>
    <w:rsid w:val="00AD12ED"/>
    <w:rsid w:val="00B327FA"/>
    <w:rsid w:val="00B37824"/>
    <w:rsid w:val="00B86E47"/>
    <w:rsid w:val="00C15887"/>
    <w:rsid w:val="00C26FC6"/>
    <w:rsid w:val="00C44131"/>
    <w:rsid w:val="00C47E10"/>
    <w:rsid w:val="00C72F9E"/>
    <w:rsid w:val="00C7590F"/>
    <w:rsid w:val="00CC56C7"/>
    <w:rsid w:val="00D33A8D"/>
    <w:rsid w:val="00D376F0"/>
    <w:rsid w:val="00D521E1"/>
    <w:rsid w:val="00D93ECD"/>
    <w:rsid w:val="00D956F4"/>
    <w:rsid w:val="00E2642C"/>
    <w:rsid w:val="00EC4B4C"/>
    <w:rsid w:val="00ED0901"/>
    <w:rsid w:val="00F47DD1"/>
    <w:rsid w:val="00F97678"/>
    <w:rsid w:val="00FA7D3A"/>
    <w:rsid w:val="00FE5149"/>
    <w:rsid w:val="11D64DAC"/>
    <w:rsid w:val="35ED2DF6"/>
    <w:rsid w:val="360314CF"/>
    <w:rsid w:val="37AB2057"/>
    <w:rsid w:val="397A7169"/>
    <w:rsid w:val="48392E91"/>
    <w:rsid w:val="51513B59"/>
    <w:rsid w:val="5B110176"/>
    <w:rsid w:val="6B2D4F9D"/>
    <w:rsid w:val="7E85529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2"/>
    <w:qFormat/>
    <w:uiPriority w:val="99"/>
    <w:rPr>
      <w:rFonts w:ascii="宋体" w:hAnsi="宋体"/>
      <w:b/>
      <w:bCs/>
      <w:sz w:val="24"/>
    </w:rPr>
  </w:style>
  <w:style w:type="paragraph" w:styleId="4">
    <w:name w:val="Balloon Text"/>
    <w:basedOn w:val="1"/>
    <w:link w:val="13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6">
    <w:name w:val="header"/>
    <w:basedOn w:val="1"/>
    <w:link w:val="10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9">
    <w:name w:val="标题 1 Char"/>
    <w:link w:val="2"/>
    <w:locked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0">
    <w:name w:val="页眉 Char"/>
    <w:link w:val="6"/>
    <w:semiHidden/>
    <w:locked/>
    <w:uiPriority w:val="99"/>
    <w:rPr>
      <w:rFonts w:cs="Times New Roman"/>
      <w:sz w:val="18"/>
      <w:szCs w:val="18"/>
    </w:rPr>
  </w:style>
  <w:style w:type="character" w:customStyle="1" w:styleId="11">
    <w:name w:val="页脚 Char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12">
    <w:name w:val="正文文本 Char"/>
    <w:link w:val="3"/>
    <w:locked/>
    <w:uiPriority w:val="99"/>
    <w:rPr>
      <w:rFonts w:ascii="宋体" w:hAnsi="宋体" w:eastAsia="宋体" w:cs="Times New Roman"/>
      <w:b/>
      <w:bCs/>
      <w:sz w:val="24"/>
      <w:szCs w:val="24"/>
    </w:rPr>
  </w:style>
  <w:style w:type="character" w:customStyle="1" w:styleId="13">
    <w:name w:val="批注框文本 Char"/>
    <w:link w:val="4"/>
    <w:semiHidden/>
    <w:uiPriority w:val="99"/>
    <w:rPr>
      <w:rFonts w:ascii="Times New Roman" w:hAnsi="Times New Roman"/>
      <w:sz w:val="0"/>
      <w:szCs w:val="0"/>
    </w:rPr>
  </w:style>
  <w:style w:type="paragraph" w:styleId="14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11</Pages>
  <Words>6854</Words>
  <Characters>1173</Characters>
  <Lines>9</Lines>
  <Paragraphs>16</Paragraphs>
  <TotalTime>37</TotalTime>
  <ScaleCrop>false</ScaleCrop>
  <LinksUpToDate>false</LinksUpToDate>
  <CharactersWithSpaces>8011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2021-09-04T06:03:00Z</dcterms:created>
  <dc:creator>lenovo</dc:creator>
  <cp:lastModifiedBy>momo。</cp:lastModifiedBy>
  <dcterms:modified xsi:type="dcterms:W3CDTF">2021-09-13T08:34:41Z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KSOSaveFontToCloudKey">
    <vt:lpwstr>362825067_btnclosed</vt:lpwstr>
  </property>
  <property fmtid="{D5CDD505-2E9C-101B-9397-08002B2CF9AE}" pid="4" name="ICV">
    <vt:lpwstr>435ED730E77A461B91B32A075ECA8118</vt:lpwstr>
  </property>
</Properties>
</file>